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Gov't may cut fuel prices: official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government may reduce fuel prices in the weeks ahead if global oil prices continue to fall, a senior Finance Ministry official said today.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government hiked petrol prices 41 percent in June to ease the burden of spiralling energy subsidies, but crude oil prices have fallen around US$20 from record highs above US$147 per barrel hit earlier in July.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official said "if oil prices remain b</w:t>
      </w:r>
      <w:r>
        <w:rPr>
          <w:rFonts w:ascii="Verdana" w:hAnsi="Verdana" w:cs="Verdana"/>
          <w:sz w:val="20"/>
          <w:szCs w:val="20"/>
        </w:rPr>
        <w:t>etween 120 dollars a barrel and 125 dollars a barrel for two weeks," then Prime Minister Abdullah Ahmad Badawi could announce a cut in fuel costs in the weeks ahead.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cabinet discussed about the fall in oil prices on Wednesday. There is a possibility </w:t>
      </w:r>
      <w:r>
        <w:rPr>
          <w:rFonts w:ascii="Verdana" w:hAnsi="Verdana" w:cs="Verdana"/>
          <w:sz w:val="20"/>
          <w:szCs w:val="20"/>
        </w:rPr>
        <w:t>of pump prices coming down in Malaysia," the official told AFP on condition of anonymity.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Oil prices volatile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Abdullah's decision to hike fuel prices sparked angry street protests and triggered calls for the premier to stand down, compounding his woes a</w:t>
      </w:r>
      <w:r>
        <w:rPr>
          <w:rFonts w:ascii="Verdana" w:hAnsi="Verdana" w:cs="Verdana"/>
          <w:sz w:val="20"/>
          <w:szCs w:val="20"/>
        </w:rPr>
        <w:t>fter disastrous results in March elections.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Crude prices spiked upwards on Wednesday to US$126, underscoring the volatility in the global oil market.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Prices are still much higher than in recent history, having traded at less than US$10 per barrel in the </w:t>
      </w:r>
      <w:r>
        <w:rPr>
          <w:rFonts w:ascii="Verdana" w:hAnsi="Verdana" w:cs="Verdana"/>
          <w:sz w:val="20"/>
          <w:szCs w:val="20"/>
        </w:rPr>
        <w:t>late 1990s.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Malaysia's annual inflation rate soared to a 26-year high of 7.7 percent in June due to the rise in fuel costs, echoing a surge in inflation across Asia that has stoked fears of slower regional economic growth.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</w:t>
      </w:r>
      <w:r>
        <w:rPr>
          <w:rFonts w:ascii="Verdana" w:hAnsi="Verdana" w:cs="Verdana"/>
          <w:sz w:val="20"/>
          <w:szCs w:val="20"/>
          <w:lang w:val="en-GB"/>
        </w:rPr>
        <w:t>tcom Sdn. Bhd.</w:t>
      </w:r>
    </w:p>
    <w:p w:rsidR="00000000" w:rsidRDefault="00BF0A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http://www.malaysiakini.com/news/87036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A78CB"/>
    <w:rsid w:val="00AA78CB"/>
    <w:rsid w:val="00BF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2011-04-29T01:11:00Z</dcterms:created>
  <dcterms:modified xsi:type="dcterms:W3CDTF">2011-04-29T01:11:00Z</dcterms:modified>
</cp:coreProperties>
</file>